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7B66" w14:textId="3AF244C0" w:rsidR="008B4ED4" w:rsidRPr="00284034" w:rsidRDefault="00284034" w:rsidP="00284034">
      <w:pPr>
        <w:jc w:val="center"/>
        <w:rPr>
          <w:rFonts w:cstheme="minorHAnsi"/>
          <w:b/>
          <w:bCs/>
          <w:color w:val="000000" w:themeColor="text1"/>
        </w:rPr>
      </w:pPr>
      <w:r w:rsidRPr="00284034">
        <w:rPr>
          <w:rFonts w:cstheme="minorHAnsi"/>
          <w:b/>
          <w:bCs/>
          <w:color w:val="000000" w:themeColor="text1"/>
        </w:rPr>
        <w:t>LYNGDORF BW-20</w:t>
      </w:r>
    </w:p>
    <w:p w14:paraId="7B44584E" w14:textId="07FCB162" w:rsidR="00284034" w:rsidRPr="00284034" w:rsidRDefault="00284034" w:rsidP="00284034">
      <w:pPr>
        <w:jc w:val="center"/>
        <w:rPr>
          <w:rFonts w:cstheme="minorHAnsi"/>
          <w:b/>
          <w:bCs/>
          <w:color w:val="000000" w:themeColor="text1"/>
        </w:rPr>
      </w:pPr>
    </w:p>
    <w:p w14:paraId="3DE6EA61" w14:textId="77777777" w:rsidR="00284034" w:rsidRPr="00284034" w:rsidRDefault="00284034" w:rsidP="00284034">
      <w:pPr>
        <w:jc w:val="both"/>
        <w:rPr>
          <w:rFonts w:cstheme="minorHAnsi"/>
          <w:color w:val="000000" w:themeColor="text1"/>
        </w:rPr>
      </w:pPr>
      <w:r w:rsidRPr="00284034">
        <w:rPr>
          <w:rFonts w:cstheme="minorHAnsi"/>
          <w:color w:val="000000" w:themeColor="text1"/>
        </w:rPr>
        <w:t xml:space="preserve">Litery BW oznaczają zewnętrzny głośnik </w:t>
      </w:r>
      <w:proofErr w:type="spellStart"/>
      <w:r w:rsidRPr="00284034">
        <w:rPr>
          <w:rFonts w:cstheme="minorHAnsi"/>
          <w:color w:val="000000" w:themeColor="text1"/>
        </w:rPr>
        <w:t>niskotonowy</w:t>
      </w:r>
      <w:proofErr w:type="spellEnd"/>
      <w:r w:rsidRPr="00284034">
        <w:rPr>
          <w:rFonts w:cstheme="minorHAnsi"/>
          <w:color w:val="000000" w:themeColor="text1"/>
        </w:rPr>
        <w:t xml:space="preserve"> – czyli podejście firmy </w:t>
      </w:r>
      <w:proofErr w:type="spellStart"/>
      <w:r w:rsidRPr="00284034">
        <w:rPr>
          <w:rFonts w:cstheme="minorHAnsi"/>
          <w:color w:val="000000" w:themeColor="text1"/>
        </w:rPr>
        <w:t>Lyngdorf</w:t>
      </w:r>
      <w:proofErr w:type="spellEnd"/>
      <w:r w:rsidRPr="00284034">
        <w:rPr>
          <w:rFonts w:cstheme="minorHAnsi"/>
          <w:color w:val="000000" w:themeColor="text1"/>
        </w:rPr>
        <w:t xml:space="preserve">, w którym </w:t>
      </w:r>
      <w:proofErr w:type="spellStart"/>
      <w:r w:rsidRPr="00284034">
        <w:rPr>
          <w:rFonts w:cstheme="minorHAnsi"/>
          <w:color w:val="000000" w:themeColor="text1"/>
        </w:rPr>
        <w:t>subwoofer</w:t>
      </w:r>
      <w:proofErr w:type="spellEnd"/>
      <w:r w:rsidRPr="00284034">
        <w:rPr>
          <w:rFonts w:cstheme="minorHAnsi"/>
          <w:color w:val="000000" w:themeColor="text1"/>
        </w:rPr>
        <w:t xml:space="preserve"> znajduje się blisko ściany, na przykład w narożniku, dając najlepszą odpowiedź basu poprzez zniwelowanie odbić opóźnionego basu od ściany i wykorzystując zalety akustyczne danego pomieszczenia. BW-20 to największy model zewnętrznych głośników </w:t>
      </w:r>
      <w:proofErr w:type="spellStart"/>
      <w:r w:rsidRPr="00284034">
        <w:rPr>
          <w:rFonts w:cstheme="minorHAnsi"/>
          <w:color w:val="000000" w:themeColor="text1"/>
        </w:rPr>
        <w:t>niskotonowych</w:t>
      </w:r>
      <w:proofErr w:type="spellEnd"/>
      <w:r w:rsidRPr="00284034">
        <w:rPr>
          <w:rFonts w:cstheme="minorHAnsi"/>
          <w:color w:val="000000" w:themeColor="text1"/>
        </w:rPr>
        <w:t xml:space="preserve"> firmy, który poszerza gamę kompaktowych </w:t>
      </w:r>
      <w:proofErr w:type="spellStart"/>
      <w:r w:rsidRPr="00284034">
        <w:rPr>
          <w:rFonts w:cstheme="minorHAnsi"/>
          <w:color w:val="000000" w:themeColor="text1"/>
        </w:rPr>
        <w:t>subwooferów</w:t>
      </w:r>
      <w:proofErr w:type="spellEnd"/>
      <w:r w:rsidRPr="00284034">
        <w:rPr>
          <w:rFonts w:cstheme="minorHAnsi"/>
          <w:color w:val="000000" w:themeColor="text1"/>
        </w:rPr>
        <w:t xml:space="preserve"> BW-2 i BW-3.</w:t>
      </w:r>
    </w:p>
    <w:p w14:paraId="684BFF17" w14:textId="77777777" w:rsidR="00284034" w:rsidRPr="00284034" w:rsidRDefault="00284034" w:rsidP="00284034">
      <w:pPr>
        <w:jc w:val="both"/>
        <w:rPr>
          <w:rFonts w:cstheme="minorHAnsi"/>
          <w:color w:val="000000" w:themeColor="text1"/>
        </w:rPr>
      </w:pPr>
    </w:p>
    <w:p w14:paraId="5EBA4FCC" w14:textId="273CF33C" w:rsidR="00284034" w:rsidRPr="00284034" w:rsidRDefault="00284034" w:rsidP="00284034">
      <w:pPr>
        <w:jc w:val="both"/>
        <w:rPr>
          <w:rFonts w:cstheme="minorHAnsi"/>
          <w:b/>
          <w:bCs/>
          <w:color w:val="000000" w:themeColor="text1"/>
        </w:rPr>
      </w:pPr>
      <w:r w:rsidRPr="00284034">
        <w:rPr>
          <w:rFonts w:cstheme="minorHAnsi"/>
          <w:b/>
          <w:bCs/>
          <w:color w:val="000000" w:themeColor="text1"/>
        </w:rPr>
        <w:t xml:space="preserve">To więcej niż tylko </w:t>
      </w:r>
      <w:proofErr w:type="spellStart"/>
      <w:r w:rsidRPr="00284034">
        <w:rPr>
          <w:rFonts w:cstheme="minorHAnsi"/>
          <w:b/>
          <w:bCs/>
          <w:color w:val="000000" w:themeColor="text1"/>
        </w:rPr>
        <w:t>subwoofer</w:t>
      </w:r>
      <w:proofErr w:type="spellEnd"/>
    </w:p>
    <w:p w14:paraId="2C9426AB" w14:textId="77777777" w:rsidR="00284034" w:rsidRPr="00284034" w:rsidRDefault="00284034" w:rsidP="00284034">
      <w:pPr>
        <w:jc w:val="both"/>
        <w:rPr>
          <w:rFonts w:cstheme="minorHAnsi"/>
          <w:color w:val="000000" w:themeColor="text1"/>
        </w:rPr>
      </w:pPr>
      <w:r w:rsidRPr="00284034">
        <w:rPr>
          <w:rFonts w:cstheme="minorHAnsi"/>
          <w:color w:val="000000" w:themeColor="text1"/>
        </w:rPr>
        <w:t xml:space="preserve">BW-20 to głośnik </w:t>
      </w:r>
      <w:proofErr w:type="spellStart"/>
      <w:r w:rsidRPr="00284034">
        <w:rPr>
          <w:rFonts w:cstheme="minorHAnsi"/>
          <w:color w:val="000000" w:themeColor="text1"/>
        </w:rPr>
        <w:t>niskotonowy</w:t>
      </w:r>
      <w:proofErr w:type="spellEnd"/>
      <w:r w:rsidRPr="00284034">
        <w:rPr>
          <w:rFonts w:cstheme="minorHAnsi"/>
          <w:color w:val="000000" w:themeColor="text1"/>
        </w:rPr>
        <w:t xml:space="preserve"> o dużej szerokości pasma, sięgającej do 20 </w:t>
      </w:r>
      <w:proofErr w:type="spellStart"/>
      <w:r w:rsidRPr="00284034">
        <w:rPr>
          <w:rFonts w:cstheme="minorHAnsi"/>
          <w:color w:val="000000" w:themeColor="text1"/>
        </w:rPr>
        <w:t>Hz</w:t>
      </w:r>
      <w:proofErr w:type="spellEnd"/>
      <w:r w:rsidRPr="00284034">
        <w:rPr>
          <w:rFonts w:cstheme="minorHAnsi"/>
          <w:color w:val="000000" w:themeColor="text1"/>
        </w:rPr>
        <w:t xml:space="preserve">, ale także do 500 </w:t>
      </w:r>
      <w:proofErr w:type="spellStart"/>
      <w:r w:rsidRPr="00284034">
        <w:rPr>
          <w:rFonts w:cstheme="minorHAnsi"/>
          <w:color w:val="000000" w:themeColor="text1"/>
        </w:rPr>
        <w:t>Hz</w:t>
      </w:r>
      <w:proofErr w:type="spellEnd"/>
      <w:r w:rsidRPr="00284034">
        <w:rPr>
          <w:rFonts w:cstheme="minorHAnsi"/>
          <w:color w:val="000000" w:themeColor="text1"/>
        </w:rPr>
        <w:t>. Dzięki temu możliwa jest bezproblemowa integracja z głośnikami przednimi o niemal dowolnych rozmiarach i typach filtra rozgraniczającego, a także pozwala uniknąć jakichkolwiek luk w paśmie, nawet jeśli przednie głośniki to głośniki pełnozakresowe, które jednak nie posiadają tak niskiego zakresu.</w:t>
      </w:r>
    </w:p>
    <w:p w14:paraId="1D07CDE3" w14:textId="77777777" w:rsidR="00284034" w:rsidRPr="00284034" w:rsidRDefault="00284034" w:rsidP="00284034">
      <w:pPr>
        <w:jc w:val="both"/>
        <w:rPr>
          <w:rFonts w:cstheme="minorHAnsi"/>
          <w:color w:val="000000" w:themeColor="text1"/>
        </w:rPr>
      </w:pPr>
    </w:p>
    <w:p w14:paraId="4A9C34A1" w14:textId="4685FB55" w:rsidR="00284034" w:rsidRPr="00284034" w:rsidRDefault="00284034" w:rsidP="00284034">
      <w:pPr>
        <w:jc w:val="both"/>
        <w:rPr>
          <w:rFonts w:cstheme="minorHAnsi"/>
          <w:b/>
          <w:bCs/>
          <w:color w:val="000000" w:themeColor="text1"/>
        </w:rPr>
      </w:pPr>
      <w:r w:rsidRPr="00284034">
        <w:rPr>
          <w:rFonts w:cstheme="minorHAnsi"/>
          <w:b/>
          <w:bCs/>
          <w:color w:val="000000" w:themeColor="text1"/>
        </w:rPr>
        <w:t>W ścianie, na ścianie, w pokoju</w:t>
      </w:r>
    </w:p>
    <w:p w14:paraId="659BDB67" w14:textId="77777777" w:rsidR="00284034" w:rsidRPr="00284034" w:rsidRDefault="00284034" w:rsidP="00284034">
      <w:pPr>
        <w:jc w:val="both"/>
        <w:rPr>
          <w:rFonts w:cstheme="minorHAnsi"/>
          <w:color w:val="000000" w:themeColor="text1"/>
        </w:rPr>
      </w:pPr>
      <w:r w:rsidRPr="00284034">
        <w:rPr>
          <w:rFonts w:cstheme="minorHAnsi"/>
          <w:color w:val="000000" w:themeColor="text1"/>
        </w:rPr>
        <w:t xml:space="preserve">Cała konstrukcja z dwoma głośnikami </w:t>
      </w:r>
      <w:proofErr w:type="spellStart"/>
      <w:r w:rsidRPr="00284034">
        <w:rPr>
          <w:rFonts w:cstheme="minorHAnsi"/>
          <w:color w:val="000000" w:themeColor="text1"/>
        </w:rPr>
        <w:t>niskotonowymi</w:t>
      </w:r>
      <w:proofErr w:type="spellEnd"/>
      <w:r w:rsidRPr="00284034">
        <w:rPr>
          <w:rFonts w:cstheme="minorHAnsi"/>
          <w:color w:val="000000" w:themeColor="text1"/>
        </w:rPr>
        <w:t xml:space="preserve"> po jednej stronie, zamkniętą konstrukcją obudowy, niewielką głębokością </w:t>
      </w:r>
      <w:proofErr w:type="spellStart"/>
      <w:r w:rsidRPr="00284034">
        <w:rPr>
          <w:rFonts w:cstheme="minorHAnsi"/>
          <w:color w:val="000000" w:themeColor="text1"/>
        </w:rPr>
        <w:t>satynowo-matowym</w:t>
      </w:r>
      <w:proofErr w:type="spellEnd"/>
      <w:r w:rsidRPr="00284034">
        <w:rPr>
          <w:rFonts w:cstheme="minorHAnsi"/>
          <w:color w:val="000000" w:themeColor="text1"/>
        </w:rPr>
        <w:t xml:space="preserve"> wykończeniu pozwala na umieszczenie głośnika w ścianie jak i w pokoju. Najlepszą wydajność i integrację głośnika można uzyskać w przypadku montażu </w:t>
      </w:r>
      <w:proofErr w:type="spellStart"/>
      <w:r w:rsidRPr="00284034">
        <w:rPr>
          <w:rFonts w:cstheme="minorHAnsi"/>
          <w:color w:val="000000" w:themeColor="text1"/>
        </w:rPr>
        <w:t>woofera</w:t>
      </w:r>
      <w:proofErr w:type="spellEnd"/>
      <w:r w:rsidRPr="00284034">
        <w:rPr>
          <w:rFonts w:cstheme="minorHAnsi"/>
          <w:color w:val="000000" w:themeColor="text1"/>
        </w:rPr>
        <w:t xml:space="preserve"> w ścianie wraz z zamontowanymi w ścianie głośnikami, ale konstrukcja obudowy pozwala również na umieszczenie go w pokoju i wykorzystanie jako wolnostojący zewnętrzny głośnik </w:t>
      </w:r>
      <w:proofErr w:type="spellStart"/>
      <w:r w:rsidRPr="00284034">
        <w:rPr>
          <w:rFonts w:cstheme="minorHAnsi"/>
          <w:color w:val="000000" w:themeColor="text1"/>
        </w:rPr>
        <w:t>niskotonowy</w:t>
      </w:r>
      <w:proofErr w:type="spellEnd"/>
      <w:r w:rsidRPr="00284034">
        <w:rPr>
          <w:rFonts w:cstheme="minorHAnsi"/>
          <w:color w:val="000000" w:themeColor="text1"/>
        </w:rPr>
        <w:t xml:space="preserve"> emitujący dźwięk do pomieszczenia lub ustawiony przy ścianie.</w:t>
      </w:r>
    </w:p>
    <w:p w14:paraId="042DB8A0" w14:textId="4F72476B" w:rsidR="00284034" w:rsidRPr="00284034" w:rsidRDefault="00284034" w:rsidP="00284034">
      <w:pPr>
        <w:jc w:val="both"/>
        <w:rPr>
          <w:rFonts w:cstheme="minorHAnsi"/>
          <w:color w:val="000000" w:themeColor="text1"/>
        </w:rPr>
      </w:pPr>
    </w:p>
    <w:p w14:paraId="2D345CAE" w14:textId="4B6C24E0" w:rsidR="00284034" w:rsidRPr="00284034" w:rsidRDefault="00284034" w:rsidP="00284034">
      <w:pPr>
        <w:jc w:val="center"/>
        <w:rPr>
          <w:rFonts w:cstheme="minorHAnsi"/>
          <w:b/>
          <w:bCs/>
          <w:color w:val="000000" w:themeColor="text1"/>
        </w:rPr>
      </w:pPr>
      <w:r w:rsidRPr="00284034">
        <w:rPr>
          <w:rFonts w:cstheme="minorHAnsi"/>
          <w:b/>
          <w:bCs/>
          <w:color w:val="000000" w:themeColor="text1"/>
        </w:rPr>
        <w:t>UNIKATOWE FUNKCJE</w:t>
      </w:r>
    </w:p>
    <w:p w14:paraId="0ECF861C" w14:textId="4A58A6C1" w:rsidR="00284034" w:rsidRPr="00284034" w:rsidRDefault="00284034" w:rsidP="00284034">
      <w:pPr>
        <w:jc w:val="center"/>
        <w:rPr>
          <w:rFonts w:cstheme="minorHAnsi"/>
          <w:b/>
          <w:bCs/>
          <w:color w:val="000000" w:themeColor="text1"/>
        </w:rPr>
      </w:pPr>
    </w:p>
    <w:p w14:paraId="559E89E8" w14:textId="77777777" w:rsidR="00284034" w:rsidRPr="00284034" w:rsidRDefault="00284034" w:rsidP="00284034">
      <w:pPr>
        <w:pStyle w:val="Nagwek5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284034">
        <w:rPr>
          <w:rFonts w:asciiTheme="minorHAnsi" w:hAnsiTheme="minorHAnsi" w:cstheme="minorHAnsi"/>
          <w:b/>
          <w:bCs/>
          <w:color w:val="000000" w:themeColor="text1"/>
        </w:rPr>
        <w:t xml:space="preserve">Wysokowydajne zewnętrzne głośniki </w:t>
      </w:r>
      <w:proofErr w:type="spellStart"/>
      <w:r w:rsidRPr="00284034">
        <w:rPr>
          <w:rFonts w:asciiTheme="minorHAnsi" w:hAnsiTheme="minorHAnsi" w:cstheme="minorHAnsi"/>
          <w:b/>
          <w:bCs/>
          <w:color w:val="000000" w:themeColor="text1"/>
        </w:rPr>
        <w:t>niskotonowe</w:t>
      </w:r>
      <w:proofErr w:type="spellEnd"/>
    </w:p>
    <w:p w14:paraId="3E1D5E40" w14:textId="77777777" w:rsidR="00284034" w:rsidRPr="00284034" w:rsidRDefault="00284034" w:rsidP="0028403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84034">
        <w:rPr>
          <w:rFonts w:asciiTheme="minorHAnsi" w:hAnsiTheme="minorHAnsi" w:cstheme="minorHAnsi"/>
          <w:color w:val="000000" w:themeColor="text1"/>
        </w:rPr>
        <w:t xml:space="preserve">Litery BW oznaczają zewnętrzny głośnik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niskotonowy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 xml:space="preserve"> – czyli podejście firmy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 xml:space="preserve">, w którym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subwoofer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 xml:space="preserve"> jest zaprojektowany do umieszczenia blisko </w:t>
      </w:r>
      <w:proofErr w:type="spellStart"/>
      <w:proofErr w:type="gramStart"/>
      <w:r w:rsidRPr="00284034">
        <w:rPr>
          <w:rFonts w:asciiTheme="minorHAnsi" w:hAnsiTheme="minorHAnsi" w:cstheme="minorHAnsi"/>
          <w:color w:val="000000" w:themeColor="text1"/>
        </w:rPr>
        <w:t>ściany,dając</w:t>
      </w:r>
      <w:proofErr w:type="spellEnd"/>
      <w:proofErr w:type="gramEnd"/>
      <w:r w:rsidRPr="00284034">
        <w:rPr>
          <w:rFonts w:asciiTheme="minorHAnsi" w:hAnsiTheme="minorHAnsi" w:cstheme="minorHAnsi"/>
          <w:color w:val="000000" w:themeColor="text1"/>
        </w:rPr>
        <w:t xml:space="preserve"> najlepszą odpowiedź basu. Zewnętrzny głośnik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niskotonowy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 xml:space="preserve"> nie powoduje odbić basu od tylnej ściany i bocznych, wykorzystując tylko zalety akustyki pomieszczenia.</w:t>
      </w:r>
    </w:p>
    <w:p w14:paraId="07B59658" w14:textId="77777777" w:rsidR="00284034" w:rsidRPr="00284034" w:rsidRDefault="00284034" w:rsidP="0028403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84034">
        <w:rPr>
          <w:rFonts w:asciiTheme="minorHAnsi" w:hAnsiTheme="minorHAnsi" w:cstheme="minorHAnsi"/>
          <w:color w:val="000000" w:themeColor="text1"/>
        </w:rPr>
        <w:t xml:space="preserve">Dwa wysokowydajne 12-calowe głośniki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niskotonowe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 xml:space="preserve"> wyposażono w wentylowane magnesy, podwójne zawieszenie membrany i aluminiowe stożki. Konstrukcja o dużym skoku pozwala, aby ten wynosił nawet +/- 20 mm, a także umożliwia głośnikowi BW-20 odtwarzanie najniższych częstotliwości przy bardzo wysokim poziomie głośności.</w:t>
      </w:r>
    </w:p>
    <w:p w14:paraId="231E2BAE" w14:textId="77777777" w:rsidR="00284034" w:rsidRDefault="00284034" w:rsidP="00284034">
      <w:pPr>
        <w:pStyle w:val="Nagwek5"/>
        <w:spacing w:before="0" w:line="312" w:lineRule="atLeast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5158EA10" w14:textId="16DFCF3E" w:rsidR="00284034" w:rsidRPr="00284034" w:rsidRDefault="00284034" w:rsidP="00284034">
      <w:pPr>
        <w:pStyle w:val="Nagwek5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284034">
        <w:rPr>
          <w:rFonts w:asciiTheme="minorHAnsi" w:hAnsiTheme="minorHAnsi" w:cstheme="minorHAnsi"/>
          <w:b/>
          <w:bCs/>
          <w:color w:val="000000" w:themeColor="text1"/>
        </w:rPr>
        <w:t>Konstrukcja o dużej szerokości pasma</w:t>
      </w:r>
    </w:p>
    <w:p w14:paraId="5B18380F" w14:textId="77777777" w:rsidR="00284034" w:rsidRPr="00284034" w:rsidRDefault="00284034" w:rsidP="0028403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84034">
        <w:rPr>
          <w:rFonts w:asciiTheme="minorHAnsi" w:hAnsiTheme="minorHAnsi" w:cstheme="minorHAnsi"/>
          <w:color w:val="000000" w:themeColor="text1"/>
        </w:rPr>
        <w:t xml:space="preserve">BW-20 to konstrukcja głośnika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niskotonowego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 xml:space="preserve"> o dużej szerokości pasma, sięgającej do 20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Hz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 xml:space="preserve">, ale także do 500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Hz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>. Dzięki temu możliwa jest bezproblemowa integracja z dowolnymi głośnikami przednimi i typami filtra rozgraniczającego, a także pozwala uniknąć typowych luk w paśmie, jeśli przednie głośniki to konstrukcje pełnozakresowe, które jednak nie posiadają tak niskiego zakresu.</w:t>
      </w:r>
    </w:p>
    <w:p w14:paraId="2C2EA7A3" w14:textId="77777777" w:rsidR="00284034" w:rsidRDefault="00284034" w:rsidP="00284034">
      <w:pPr>
        <w:pStyle w:val="Nagwek5"/>
        <w:spacing w:before="0" w:line="312" w:lineRule="atLeast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34169CE1" w14:textId="577E87DA" w:rsidR="00284034" w:rsidRPr="00284034" w:rsidRDefault="00284034" w:rsidP="00284034">
      <w:pPr>
        <w:pStyle w:val="Nagwek5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284034">
        <w:rPr>
          <w:rFonts w:asciiTheme="minorHAnsi" w:hAnsiTheme="minorHAnsi" w:cstheme="minorHAnsi"/>
          <w:b/>
          <w:bCs/>
          <w:color w:val="000000" w:themeColor="text1"/>
        </w:rPr>
        <w:t>Elastyczne umiejscowienie</w:t>
      </w:r>
    </w:p>
    <w:p w14:paraId="628D2B4C" w14:textId="77777777" w:rsidR="00284034" w:rsidRPr="00284034" w:rsidRDefault="00284034" w:rsidP="0028403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84034">
        <w:rPr>
          <w:rFonts w:asciiTheme="minorHAnsi" w:hAnsiTheme="minorHAnsi" w:cstheme="minorHAnsi"/>
          <w:color w:val="000000" w:themeColor="text1"/>
        </w:rPr>
        <w:t xml:space="preserve">Cała konstrukcja z dwoma głośnikami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niskotonowymi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 xml:space="preserve"> po jednej stronie, zamkniętą konstrukcją obudowy, niewielką głębokością </w:t>
      </w:r>
      <w:proofErr w:type="spellStart"/>
      <w:r w:rsidRPr="00284034">
        <w:rPr>
          <w:rFonts w:asciiTheme="minorHAnsi" w:hAnsiTheme="minorHAnsi" w:cstheme="minorHAnsi"/>
          <w:color w:val="000000" w:themeColor="text1"/>
        </w:rPr>
        <w:t>satynowo-matowym</w:t>
      </w:r>
      <w:proofErr w:type="spellEnd"/>
      <w:r w:rsidRPr="00284034">
        <w:rPr>
          <w:rFonts w:asciiTheme="minorHAnsi" w:hAnsiTheme="minorHAnsi" w:cstheme="minorHAnsi"/>
          <w:color w:val="000000" w:themeColor="text1"/>
        </w:rPr>
        <w:t xml:space="preserve"> wykończeniu pozwala na umieszczenie głośnika w ścianie, jak i w pokoju.</w:t>
      </w:r>
    </w:p>
    <w:p w14:paraId="3B159480" w14:textId="77777777" w:rsidR="00284034" w:rsidRDefault="00284034" w:rsidP="00284034">
      <w:pPr>
        <w:pStyle w:val="Nagwek2"/>
        <w:spacing w:before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27884BB" w14:textId="14E1F235" w:rsidR="00284034" w:rsidRPr="00284034" w:rsidRDefault="00284034" w:rsidP="00284034">
      <w:pPr>
        <w:pStyle w:val="Nagwek2"/>
        <w:spacing w:before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28403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SPECYFIKACJA</w:t>
      </w:r>
    </w:p>
    <w:p w14:paraId="179DAC18" w14:textId="77777777" w:rsidR="00284034" w:rsidRPr="00284034" w:rsidRDefault="00284034" w:rsidP="00284034">
      <w:pPr>
        <w:rPr>
          <w:color w:val="000000" w:themeColor="text1"/>
        </w:rPr>
      </w:pPr>
    </w:p>
    <w:p w14:paraId="3F1F59B7" w14:textId="77777777" w:rsidR="00284034" w:rsidRDefault="00284034" w:rsidP="00284034">
      <w:pPr>
        <w:pStyle w:val="NormalnyWeb"/>
        <w:spacing w:before="0" w:beforeAutospacing="0" w:after="0" w:afterAutospacing="0"/>
        <w:textAlignment w:val="baseline"/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</w:pP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Opis:</w:t>
      </w:r>
      <w:r w:rsidRPr="00284034">
        <w:rPr>
          <w:rStyle w:val="apple-converted-space"/>
          <w:rFonts w:asciiTheme="minorHAnsi" w:hAnsiTheme="minorHAnsi" w:cstheme="minorHAnsi"/>
          <w:color w:val="000000" w:themeColor="text1"/>
          <w:bdr w:val="none" w:sz="0" w:space="0" w:color="auto" w:frame="1"/>
        </w:rPr>
        <w:t> </w:t>
      </w:r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Zewnętrzny głośnik </w:t>
      </w:r>
      <w:proofErr w:type="spellStart"/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niskotonowy</w:t>
      </w:r>
      <w:proofErr w:type="spellEnd"/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, pasywny, zamknięty</w:t>
      </w:r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br/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 xml:space="preserve">Głośnik </w:t>
      </w:r>
      <w:proofErr w:type="spellStart"/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niskotonowy</w:t>
      </w:r>
      <w:proofErr w:type="spellEnd"/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:</w:t>
      </w:r>
      <w:r w:rsidRPr="00284034">
        <w:rPr>
          <w:rStyle w:val="apple-converted-space"/>
          <w:rFonts w:asciiTheme="minorHAnsi" w:hAnsiTheme="minorHAnsi" w:cstheme="minorHAnsi"/>
          <w:color w:val="000000" w:themeColor="text1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2 x</w:t>
      </w:r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12” o dużym wychyleniu +/- 20 mm, 67 mm cewka drgająca, stożek aluminiowy, podwójn</w:t>
      </w:r>
      <w:r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 </w:t>
      </w:r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zawieszenie membrany, magnes wentylowany</w:t>
      </w:r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br/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Obudowa:</w:t>
      </w:r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 MDF, zamknięta 64 L net</w:t>
      </w:r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br/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Pasmo przenoszenia:</w:t>
      </w:r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 19 – 500 </w:t>
      </w:r>
      <w:proofErr w:type="spellStart"/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Hz</w:t>
      </w:r>
      <w:proofErr w:type="spellEnd"/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(-3 </w:t>
      </w:r>
      <w:proofErr w:type="spellStart"/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dB</w:t>
      </w:r>
      <w:proofErr w:type="spellEnd"/>
      <w:r w:rsidRPr="0028403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)</w:t>
      </w:r>
      <w:r w:rsidRPr="00284034">
        <w:rPr>
          <w:rStyle w:val="apple-converted-space"/>
          <w:rFonts w:asciiTheme="minorHAnsi" w:hAnsiTheme="minorHAnsi" w:cstheme="minorHAnsi"/>
          <w:color w:val="000000" w:themeColor="text1"/>
          <w:bdr w:val="none" w:sz="0" w:space="0" w:color="auto" w:frame="1"/>
        </w:rPr>
        <w:t> </w:t>
      </w:r>
      <w:r w:rsidRPr="00284034">
        <w:rPr>
          <w:rStyle w:val="Uwydatnienie"/>
          <w:rFonts w:asciiTheme="minorHAnsi" w:hAnsiTheme="minorHAnsi" w:cstheme="minorHAnsi"/>
          <w:color w:val="000000" w:themeColor="text1"/>
          <w:bdr w:val="none" w:sz="0" w:space="0" w:color="auto" w:frame="1"/>
        </w:rPr>
        <w:t>Rozszerzenie częstotliwości w zależności od korekcji</w:t>
      </w:r>
      <w:r w:rsidRPr="0028403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br/>
      </w:r>
      <w:r w:rsidRPr="00284034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Impedancja nominalna:</w:t>
      </w:r>
      <w:r w:rsidRPr="0028403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284034">
        <w:rPr>
          <w:rStyle w:val="Pogrubienie"/>
          <w:rFonts w:asciiTheme="minorHAnsi" w:eastAsiaTheme="majorEastAsia" w:hAnsiTheme="minorHAnsi" w:cstheme="minorHAnsi"/>
          <w:b w:val="0"/>
          <w:bCs w:val="0"/>
          <w:color w:val="000000" w:themeColor="text1"/>
          <w:bdr w:val="none" w:sz="0" w:space="0" w:color="auto" w:frame="1"/>
        </w:rPr>
        <w:t>4 omy</w:t>
      </w:r>
      <w:r w:rsidRPr="00284034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br/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Moc wyjściowa:</w:t>
      </w:r>
      <w:r w:rsidRPr="0028403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284034">
        <w:rPr>
          <w:rStyle w:val="Pogrubienie"/>
          <w:rFonts w:asciiTheme="minorHAnsi" w:eastAsiaTheme="majorEastAsia" w:hAnsiTheme="minorHAnsi" w:cstheme="minorHAnsi"/>
          <w:b w:val="0"/>
          <w:bCs w:val="0"/>
          <w:color w:val="000000" w:themeColor="text1"/>
          <w:bdr w:val="none" w:sz="0" w:space="0" w:color="auto" w:frame="1"/>
        </w:rPr>
        <w:t>700 W (IEC)</w:t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</w:t>
      </w:r>
      <w:r w:rsidRPr="0028403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284034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br/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Maksymalny poziom ciśnienia akustycznego (SPL):</w:t>
      </w:r>
      <w:r w:rsidRPr="0028403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 xml:space="preserve">118 </w:t>
      </w:r>
      <w:proofErr w:type="spellStart"/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dB</w:t>
      </w:r>
      <w:proofErr w:type="spellEnd"/>
      <w:r w:rsidRPr="00284034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br/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Przyłącza</w:t>
      </w:r>
      <w:r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:</w:t>
      </w:r>
      <w:r w:rsidRPr="0028403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proofErr w:type="spellStart"/>
      <w:r w:rsidRPr="00284034">
        <w:rPr>
          <w:rStyle w:val="Pogrubienie"/>
          <w:rFonts w:asciiTheme="minorHAnsi" w:eastAsiaTheme="majorEastAsia" w:hAnsiTheme="minorHAnsi" w:cstheme="minorHAnsi"/>
          <w:b w:val="0"/>
          <w:bCs w:val="0"/>
          <w:color w:val="000000" w:themeColor="text1"/>
          <w:bdr w:val="none" w:sz="0" w:space="0" w:color="auto" w:frame="1"/>
        </w:rPr>
        <w:t>Neutrik</w:t>
      </w:r>
      <w:proofErr w:type="spellEnd"/>
      <w:r w:rsidRPr="00284034">
        <w:rPr>
          <w:rStyle w:val="Pogrubienie"/>
          <w:rFonts w:asciiTheme="minorHAnsi" w:eastAsiaTheme="majorEastAsia" w:hAnsiTheme="minorHAnsi"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284034">
        <w:rPr>
          <w:rStyle w:val="Pogrubienie"/>
          <w:rFonts w:asciiTheme="minorHAnsi" w:eastAsiaTheme="majorEastAsia" w:hAnsiTheme="minorHAnsi" w:cstheme="minorHAnsi"/>
          <w:b w:val="0"/>
          <w:bCs w:val="0"/>
          <w:color w:val="000000" w:themeColor="text1"/>
          <w:bdr w:val="none" w:sz="0" w:space="0" w:color="auto" w:frame="1"/>
        </w:rPr>
        <w:t>speakON</w:t>
      </w:r>
      <w:proofErr w:type="spellEnd"/>
      <w:r w:rsidRPr="00284034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br/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Montaż:</w:t>
      </w:r>
      <w:r w:rsidRPr="0028403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284034">
        <w:rPr>
          <w:rStyle w:val="Pogrubienie"/>
          <w:rFonts w:asciiTheme="minorHAnsi" w:eastAsiaTheme="majorEastAsia" w:hAnsiTheme="minorHAnsi" w:cstheme="minorHAnsi"/>
          <w:b w:val="0"/>
          <w:bCs w:val="0"/>
          <w:color w:val="000000" w:themeColor="text1"/>
          <w:bdr w:val="none" w:sz="0" w:space="0" w:color="auto" w:frame="1"/>
        </w:rPr>
        <w:t>Na podłodze</w:t>
      </w:r>
      <w:r w:rsidRPr="00284034">
        <w:rPr>
          <w:rStyle w:val="Pogrubienie"/>
          <w:rFonts w:eastAsiaTheme="majorEastAsia"/>
        </w:rPr>
        <w:br/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Wymiary (szer. x wys. x głęb.):</w:t>
      </w:r>
      <w:r w:rsidRPr="0028403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284034">
        <w:rPr>
          <w:rStyle w:val="Pogrubienie"/>
          <w:rFonts w:asciiTheme="minorHAnsi" w:eastAsiaTheme="majorEastAsia" w:hAnsiTheme="minorHAnsi" w:cstheme="minorHAnsi"/>
          <w:b w:val="0"/>
          <w:bCs w:val="0"/>
          <w:color w:val="000000" w:themeColor="text1"/>
          <w:bdr w:val="none" w:sz="0" w:space="0" w:color="auto" w:frame="1"/>
        </w:rPr>
        <w:t xml:space="preserve">450 x 710 x 270 mm </w:t>
      </w:r>
      <w:r w:rsidRPr="00284034">
        <w:rPr>
          <w:rStyle w:val="Uwydatnienie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(Obudowa bez nóżek z kolcami i wychylenia głośnika </w:t>
      </w:r>
      <w:proofErr w:type="spellStart"/>
      <w:r w:rsidRPr="00284034">
        <w:rPr>
          <w:rStyle w:val="Uwydatnienie"/>
          <w:rFonts w:asciiTheme="minorHAnsi" w:hAnsiTheme="minorHAnsi" w:cstheme="minorHAnsi"/>
          <w:color w:val="000000" w:themeColor="text1"/>
          <w:bdr w:val="none" w:sz="0" w:space="0" w:color="auto" w:frame="1"/>
        </w:rPr>
        <w:t>niskotonowego</w:t>
      </w:r>
      <w:proofErr w:type="spellEnd"/>
      <w:r w:rsidRPr="00284034">
        <w:rPr>
          <w:rStyle w:val="Uwydatnienie"/>
          <w:rFonts w:asciiTheme="minorHAnsi" w:hAnsiTheme="minorHAnsi" w:cstheme="minorHAnsi"/>
          <w:color w:val="000000" w:themeColor="text1"/>
          <w:bdr w:val="none" w:sz="0" w:space="0" w:color="auto" w:frame="1"/>
        </w:rPr>
        <w:t>)</w:t>
      </w:r>
      <w:r w:rsidRPr="00284034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br/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Masa:</w:t>
      </w:r>
      <w:r w:rsidRPr="0028403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284034">
        <w:rPr>
          <w:rStyle w:val="Pogrubienie"/>
          <w:rFonts w:asciiTheme="minorHAnsi" w:eastAsiaTheme="majorEastAsia" w:hAnsiTheme="minorHAnsi" w:cstheme="minorHAnsi"/>
          <w:b w:val="0"/>
          <w:bCs w:val="0"/>
          <w:color w:val="000000" w:themeColor="text1"/>
          <w:bdr w:val="none" w:sz="0" w:space="0" w:color="auto" w:frame="1"/>
        </w:rPr>
        <w:t>35 kg</w:t>
      </w: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 xml:space="preserve"> </w:t>
      </w:r>
    </w:p>
    <w:p w14:paraId="3488B74D" w14:textId="0E892A10" w:rsidR="00284034" w:rsidRPr="00284034" w:rsidRDefault="00284034" w:rsidP="00284034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284034">
        <w:rPr>
          <w:rStyle w:val="Pogrubienie"/>
          <w:rFonts w:asciiTheme="minorHAnsi" w:eastAsiaTheme="majorEastAsia" w:hAnsiTheme="minorHAnsi" w:cstheme="minorHAnsi"/>
          <w:color w:val="000000" w:themeColor="text1"/>
          <w:bdr w:val="none" w:sz="0" w:space="0" w:color="auto" w:frame="1"/>
        </w:rPr>
        <w:t>Wykończenie powierzchni:</w:t>
      </w:r>
      <w:r w:rsidRPr="0028403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284034">
        <w:rPr>
          <w:rStyle w:val="Pogrubienie"/>
          <w:rFonts w:asciiTheme="minorHAnsi" w:eastAsiaTheme="majorEastAsia" w:hAnsiTheme="minorHAnsi" w:cstheme="minorHAnsi"/>
          <w:b w:val="0"/>
          <w:bCs w:val="0"/>
          <w:color w:val="000000" w:themeColor="text1"/>
          <w:bdr w:val="none" w:sz="0" w:space="0" w:color="auto" w:frame="1"/>
        </w:rPr>
        <w:t>Matowa czerń</w:t>
      </w:r>
    </w:p>
    <w:p w14:paraId="218069CF" w14:textId="77777777" w:rsidR="00284034" w:rsidRPr="00284034" w:rsidRDefault="00284034" w:rsidP="00284034">
      <w:pPr>
        <w:rPr>
          <w:rFonts w:cstheme="minorHAnsi"/>
          <w:b/>
          <w:bCs/>
          <w:color w:val="000000" w:themeColor="text1"/>
        </w:rPr>
      </w:pPr>
    </w:p>
    <w:p w14:paraId="6E2AB86C" w14:textId="77777777" w:rsidR="00284034" w:rsidRPr="00284034" w:rsidRDefault="00284034" w:rsidP="00284034">
      <w:pPr>
        <w:jc w:val="both"/>
        <w:rPr>
          <w:rFonts w:cstheme="minorHAnsi"/>
          <w:color w:val="000000" w:themeColor="text1"/>
        </w:rPr>
      </w:pPr>
    </w:p>
    <w:sectPr w:rsidR="00284034" w:rsidRPr="00284034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34"/>
    <w:rsid w:val="0008569E"/>
    <w:rsid w:val="00137364"/>
    <w:rsid w:val="00284034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15220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5047B"/>
  <w14:defaultImageDpi w14:val="32767"/>
  <w15:chartTrackingRefBased/>
  <w15:docId w15:val="{90BEFCAF-41B3-9D4C-88C5-26C56F93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4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840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0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40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4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4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03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284034"/>
    <w:rPr>
      <w:b/>
      <w:bCs/>
    </w:rPr>
  </w:style>
  <w:style w:type="character" w:customStyle="1" w:styleId="apple-converted-space">
    <w:name w:val="apple-converted-space"/>
    <w:basedOn w:val="Domylnaczcionkaakapitu"/>
    <w:rsid w:val="00284034"/>
  </w:style>
  <w:style w:type="character" w:styleId="Uwydatnienie">
    <w:name w:val="Emphasis"/>
    <w:basedOn w:val="Domylnaczcionkaakapitu"/>
    <w:uiPriority w:val="20"/>
    <w:qFormat/>
    <w:rsid w:val="00284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2022-06-13T19:59:00Z</dcterms:created>
  <dcterms:modified xsi:type="dcterms:W3CDTF">2022-06-13T20:04:00Z</dcterms:modified>
</cp:coreProperties>
</file>