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B22C" w14:textId="77777777" w:rsidR="0094478B" w:rsidRPr="0094478B" w:rsidRDefault="0094478B" w:rsidP="0094478B">
      <w:pPr>
        <w:pStyle w:val="Nagwek3"/>
        <w:spacing w:before="150" w:after="150"/>
        <w:jc w:val="center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b/>
          <w:bCs/>
          <w:color w:val="000000" w:themeColor="text1"/>
        </w:rPr>
        <w:t>OPIS PRODUKTU LYNGDORF D-500</w:t>
      </w:r>
    </w:p>
    <w:p w14:paraId="4471E912" w14:textId="77777777" w:rsidR="0094478B" w:rsidRPr="0094478B" w:rsidRDefault="0094478B" w:rsidP="0094478B">
      <w:pPr>
        <w:pStyle w:val="NormalnyWeb"/>
        <w:spacing w:before="0" w:beforeAutospacing="0" w:after="10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 xml:space="preserve">Pierwsze głośniki do zabudowy </w:t>
      </w:r>
      <w:proofErr w:type="spellStart"/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>Lyngdorf</w:t>
      </w:r>
      <w:proofErr w:type="spellEnd"/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 xml:space="preserve"> Audio</w:t>
      </w:r>
    </w:p>
    <w:p w14:paraId="61072EE7" w14:textId="77777777" w:rsidR="0094478B" w:rsidRPr="0094478B" w:rsidRDefault="0094478B" w:rsidP="0094478B">
      <w:pPr>
        <w:pStyle w:val="NormalnyWeb"/>
        <w:spacing w:before="0" w:beforeAutospacing="0" w:after="10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color w:val="000000" w:themeColor="text1"/>
        </w:rPr>
        <w:t xml:space="preserve">Modele D-500 i D-5 wprowadzają jakość dźwięku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Lyngdorf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Audio na rynek niestandardowych głośników do zabudowy. Po pomyślnym wprowadzeniu głośników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Lyngdorf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do współczesnych salonów, których oferta obejmuje głośniki naścienne MH i FR, zewnętrzne głośniki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niskotonowe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BW, a także głośniki CS-1 w obudowie, seria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Lyngdorf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Discreet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została poszerzona o głośniki do zabudowy w ścianie i suficie do instalacji wielokanałowych i stereo.</w:t>
      </w:r>
    </w:p>
    <w:p w14:paraId="6B9F4C2D" w14:textId="77777777" w:rsidR="0094478B" w:rsidRPr="0094478B" w:rsidRDefault="0094478B" w:rsidP="0094478B">
      <w:pPr>
        <w:pStyle w:val="NormalnyWeb"/>
        <w:spacing w:before="0" w:beforeAutospacing="0" w:after="10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>D oznacza dyskrecję</w:t>
      </w:r>
    </w:p>
    <w:p w14:paraId="2C01A3CE" w14:textId="3325A6C7" w:rsidR="0094478B" w:rsidRPr="0094478B" w:rsidRDefault="0094478B" w:rsidP="0094478B">
      <w:pPr>
        <w:pStyle w:val="NormalnyWeb"/>
        <w:spacing w:before="0" w:beforeAutospacing="0" w:after="105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color w:val="000000" w:themeColor="text1"/>
        </w:rPr>
        <w:t xml:space="preserve">D oznacza dyskrecję – wszystkie modele zostały zaprojektowane jako głośniki do zabudowy w ścianie lub suficie i posiadają specjalny mechanizm mocowania z nóżkami montażowymi. Wszystkie model posiadają własną obudowę głośników </w:t>
      </w:r>
      <w:proofErr w:type="gramStart"/>
      <w:r w:rsidRPr="0094478B">
        <w:rPr>
          <w:rFonts w:asciiTheme="minorHAnsi" w:hAnsiTheme="minorHAnsi" w:cstheme="minorHAnsi"/>
          <w:color w:val="000000" w:themeColor="text1"/>
        </w:rPr>
        <w:t>sprawiając</w:t>
      </w:r>
      <w:proofErr w:type="gramEnd"/>
      <w:r w:rsidRPr="0094478B">
        <w:rPr>
          <w:rFonts w:asciiTheme="minorHAnsi" w:hAnsiTheme="minorHAnsi" w:cstheme="minorHAnsi"/>
          <w:color w:val="000000" w:themeColor="text1"/>
        </w:rPr>
        <w:t xml:space="preserve"> że planowanie i montaż systemu są bardzo proste i nie wymagają żadnych dodatkowych obudów czy zamkniętych wnęk ściennych. Dzięki temu osiągi dźwiękowe są zawsze jasno określone i spójne, i w mniejszym stopniu zależą od konstrukcji ściany czy przestrzeni dostępne za ścianą.</w:t>
      </w:r>
    </w:p>
    <w:p w14:paraId="55F5E2B6" w14:textId="77777777" w:rsidR="0094478B" w:rsidRPr="0094478B" w:rsidRDefault="006B776A" w:rsidP="0094478B">
      <w:pPr>
        <w:spacing w:before="300" w:after="300"/>
        <w:rPr>
          <w:rFonts w:cstheme="minorHAnsi"/>
          <w:color w:val="000000" w:themeColor="text1"/>
        </w:rPr>
      </w:pPr>
      <w:r w:rsidRPr="006B776A">
        <w:rPr>
          <w:rFonts w:cstheme="minorHAnsi"/>
          <w:noProof/>
          <w:color w:val="000000" w:themeColor="text1"/>
        </w:rPr>
        <w:pict w14:anchorId="60746594">
          <v:rect id="_x0000_i1026" alt="" style="width:453.15pt;height:.05pt;mso-width-percent:0;mso-height-percent:0;mso-width-percent:0;mso-height-percent:0" o:hrpct="999" o:hralign="center" o:hrstd="t" o:hr="t" fillcolor="#a0a0a0" stroked="f"/>
        </w:pict>
      </w:r>
    </w:p>
    <w:p w14:paraId="550747E4" w14:textId="77777777" w:rsidR="0094478B" w:rsidRPr="0094478B" w:rsidRDefault="0094478B" w:rsidP="0094478B">
      <w:pPr>
        <w:pStyle w:val="NormalnyWeb"/>
        <w:spacing w:before="0" w:beforeAutospacing="0" w:after="105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t>UNIKATOWE FUNKCJE</w:t>
      </w:r>
    </w:p>
    <w:p w14:paraId="135DE5A0" w14:textId="77777777" w:rsidR="0094478B" w:rsidRPr="0094478B" w:rsidRDefault="0094478B" w:rsidP="0094478B">
      <w:pPr>
        <w:pStyle w:val="Nagwek5"/>
        <w:spacing w:before="150" w:after="150"/>
        <w:rPr>
          <w:rFonts w:asciiTheme="minorHAnsi" w:hAnsiTheme="minorHAnsi" w:cstheme="minorHAnsi"/>
          <w:b/>
          <w:bCs/>
          <w:color w:val="000000" w:themeColor="text1"/>
        </w:rPr>
      </w:pPr>
      <w:r w:rsidRPr="0094478B">
        <w:rPr>
          <w:rFonts w:asciiTheme="minorHAnsi" w:hAnsiTheme="minorHAnsi" w:cstheme="minorHAnsi"/>
          <w:b/>
          <w:bCs/>
          <w:color w:val="000000" w:themeColor="text1"/>
        </w:rPr>
        <w:t>Konstrukcja głośnika pełnozakresowego</w:t>
      </w:r>
    </w:p>
    <w:p w14:paraId="4AFA0B19" w14:textId="059C38A8" w:rsidR="0094478B" w:rsidRPr="0094478B" w:rsidRDefault="0094478B" w:rsidP="0094478B">
      <w:pPr>
        <w:pStyle w:val="NormalnyWeb"/>
        <w:spacing w:before="0" w:beforeAutospacing="0" w:after="105" w:afterAutospacing="0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color w:val="000000" w:themeColor="text1"/>
        </w:rPr>
        <w:t xml:space="preserve">Modele D-500 zostały zaprojektowane jako głośniki pełnozakresowe i posiadają dwa pasywne głośniki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niskotonowe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wspomagane przez przetwornik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średniotonowy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i głośniki wysokotonowy. Taka konstrukcja sprawia, że modele D-500 są łatwe w obsłudze i osiągają wartości poniżej 50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Hz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, dzięki czemu nadają się do systemów bez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subwoofera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w mniejszych lub średnich pomieszczeniach lub jako pełnozakresowe głośniki do zabudowy w konfiguracji stereo po lewej i prawej stronie telewizora.</w:t>
      </w:r>
    </w:p>
    <w:p w14:paraId="7588AD59" w14:textId="77777777" w:rsidR="0094478B" w:rsidRPr="0094478B" w:rsidRDefault="0094478B" w:rsidP="0094478B">
      <w:pPr>
        <w:pStyle w:val="Nagwek5"/>
        <w:spacing w:before="150" w:after="150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hAnsiTheme="minorHAnsi" w:cstheme="minorHAnsi"/>
          <w:color w:val="000000" w:themeColor="text1"/>
        </w:rPr>
        <w:t>Wstępnie złożona obudowa głośnika</w:t>
      </w:r>
    </w:p>
    <w:p w14:paraId="1DFB5DE7" w14:textId="1EF14492" w:rsidR="0094478B" w:rsidRPr="0094478B" w:rsidRDefault="0094478B" w:rsidP="0094478B">
      <w:pPr>
        <w:pStyle w:val="NormalnyWeb"/>
        <w:spacing w:before="0" w:beforeAutospacing="0" w:after="105" w:afterAutospacing="0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color w:val="000000" w:themeColor="text1"/>
        </w:rPr>
        <w:t>Wszystkie modele D-500 i D-5 dostarczane są z własną, fabrycznie zamontowaną obudową głośnika, dzięki czemu nie jest wymagana dodatkowa obudowa lub zamknięta wnęka w ścianie. Dzięki temu osiągi dźwiękowe są zawsze jasno określone i spójne, i w mniejszym stopniu zależą od konstrukcji ściany czy przestrzeni dostępne za ścianą.</w:t>
      </w:r>
    </w:p>
    <w:p w14:paraId="4F4E2D33" w14:textId="77777777" w:rsidR="0094478B" w:rsidRPr="0094478B" w:rsidRDefault="0094478B" w:rsidP="0094478B">
      <w:pPr>
        <w:pStyle w:val="Nagwek5"/>
        <w:spacing w:before="150" w:after="150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hAnsiTheme="minorHAnsi" w:cstheme="minorHAnsi"/>
          <w:color w:val="000000" w:themeColor="text1"/>
        </w:rPr>
        <w:t xml:space="preserve">Konstrukcja głośnika </w:t>
      </w:r>
      <w:proofErr w:type="spellStart"/>
      <w:r w:rsidRPr="0094478B">
        <w:rPr>
          <w:rStyle w:val="Pogrubienie"/>
          <w:rFonts w:asciiTheme="minorHAnsi" w:hAnsiTheme="minorHAnsi" w:cstheme="minorHAnsi"/>
          <w:color w:val="000000" w:themeColor="text1"/>
        </w:rPr>
        <w:t>Lyngdorf</w:t>
      </w:r>
      <w:proofErr w:type="spellEnd"/>
      <w:r w:rsidRPr="0094478B">
        <w:rPr>
          <w:rStyle w:val="Pogrubienie"/>
          <w:rFonts w:asciiTheme="minorHAnsi" w:hAnsiTheme="minorHAnsi" w:cstheme="minorHAnsi"/>
          <w:color w:val="000000" w:themeColor="text1"/>
        </w:rPr>
        <w:t xml:space="preserve"> Audio i przetworniki</w:t>
      </w:r>
    </w:p>
    <w:p w14:paraId="0D08A9BC" w14:textId="400E38D5" w:rsidR="0094478B" w:rsidRPr="0094478B" w:rsidRDefault="0094478B" w:rsidP="0094478B">
      <w:pPr>
        <w:pStyle w:val="NormalnyWeb"/>
        <w:spacing w:before="0" w:beforeAutospacing="0" w:after="105" w:afterAutospacing="0"/>
        <w:rPr>
          <w:rFonts w:asciiTheme="minorHAnsi" w:hAnsiTheme="minorHAnsi" w:cstheme="minorHAnsi"/>
          <w:color w:val="000000" w:themeColor="text1"/>
        </w:rPr>
      </w:pPr>
      <w:r w:rsidRPr="0094478B">
        <w:rPr>
          <w:rFonts w:asciiTheme="minorHAnsi" w:hAnsiTheme="minorHAnsi" w:cstheme="minorHAnsi"/>
          <w:color w:val="000000" w:themeColor="text1"/>
        </w:rPr>
        <w:t xml:space="preserve">Głośniki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niskotonowe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, przetworniki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średniotonowe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i wysokotonowe D-500 i D-5 zostały zaprojektowane przez </w:t>
      </w:r>
      <w:proofErr w:type="spellStart"/>
      <w:r w:rsidRPr="0094478B">
        <w:rPr>
          <w:rFonts w:asciiTheme="minorHAnsi" w:hAnsiTheme="minorHAnsi" w:cstheme="minorHAnsi"/>
          <w:color w:val="000000" w:themeColor="text1"/>
        </w:rPr>
        <w:t>Lyngdorf</w:t>
      </w:r>
      <w:proofErr w:type="spellEnd"/>
      <w:r w:rsidRPr="0094478B">
        <w:rPr>
          <w:rFonts w:asciiTheme="minorHAnsi" w:hAnsiTheme="minorHAnsi" w:cstheme="minorHAnsi"/>
          <w:color w:val="000000" w:themeColor="text1"/>
        </w:rPr>
        <w:t xml:space="preserve"> Audio i posiadają głośniki wysokotonowe o miękkiej kopułce, lekkie aluminiowe stożki i potężne magnesy wentylowane.</w:t>
      </w:r>
    </w:p>
    <w:p w14:paraId="20644A78" w14:textId="77777777" w:rsidR="0094478B" w:rsidRPr="0094478B" w:rsidRDefault="006B776A" w:rsidP="0094478B">
      <w:pPr>
        <w:spacing w:before="300" w:after="300"/>
        <w:rPr>
          <w:rFonts w:cstheme="minorHAnsi"/>
          <w:color w:val="000000" w:themeColor="text1"/>
        </w:rPr>
      </w:pPr>
      <w:r w:rsidRPr="006B776A">
        <w:rPr>
          <w:rFonts w:cstheme="minorHAnsi"/>
          <w:noProof/>
          <w:color w:val="000000" w:themeColor="text1"/>
        </w:rPr>
        <w:pict w14:anchorId="67BD3D7B">
          <v:rect id="_x0000_i1025" alt="" style="width:453.15pt;height:.05pt;mso-width-percent:0;mso-height-percent:0;mso-width-percent:0;mso-height-percent:0" o:hrpct="999" o:hralign="center" o:hrstd="t" o:hr="t" fillcolor="#a0a0a0" stroked="f"/>
        </w:pict>
      </w:r>
    </w:p>
    <w:p w14:paraId="304713F8" w14:textId="77777777" w:rsidR="0094478B" w:rsidRDefault="0094478B" w:rsidP="0094478B">
      <w:pPr>
        <w:pStyle w:val="NormalnyWeb"/>
        <w:spacing w:before="0" w:beforeAutospacing="0" w:after="105" w:afterAutospacing="0"/>
        <w:jc w:val="center"/>
        <w:rPr>
          <w:rStyle w:val="Pogrubienie"/>
          <w:rFonts w:asciiTheme="minorHAnsi" w:eastAsiaTheme="majorEastAsia" w:hAnsiTheme="minorHAnsi" w:cstheme="minorHAnsi"/>
          <w:color w:val="000000" w:themeColor="text1"/>
        </w:rPr>
      </w:pPr>
    </w:p>
    <w:p w14:paraId="7321CCD8" w14:textId="77777777" w:rsidR="0094478B" w:rsidRDefault="0094478B" w:rsidP="0094478B">
      <w:pPr>
        <w:pStyle w:val="NormalnyWeb"/>
        <w:spacing w:before="0" w:beforeAutospacing="0" w:after="105" w:afterAutospacing="0"/>
        <w:jc w:val="center"/>
        <w:rPr>
          <w:rStyle w:val="Pogrubienie"/>
          <w:rFonts w:asciiTheme="minorHAnsi" w:eastAsiaTheme="majorEastAsia" w:hAnsiTheme="minorHAnsi" w:cstheme="minorHAnsi"/>
          <w:color w:val="000000" w:themeColor="text1"/>
        </w:rPr>
      </w:pPr>
    </w:p>
    <w:p w14:paraId="40E0CB15" w14:textId="77777777" w:rsidR="0094478B" w:rsidRDefault="0094478B" w:rsidP="0094478B">
      <w:pPr>
        <w:pStyle w:val="NormalnyWeb"/>
        <w:spacing w:before="0" w:beforeAutospacing="0" w:after="105" w:afterAutospacing="0"/>
        <w:jc w:val="center"/>
        <w:rPr>
          <w:rStyle w:val="Pogrubienie"/>
          <w:rFonts w:asciiTheme="minorHAnsi" w:eastAsiaTheme="majorEastAsia" w:hAnsiTheme="minorHAnsi" w:cstheme="minorHAnsi"/>
          <w:color w:val="000000" w:themeColor="text1"/>
        </w:rPr>
      </w:pPr>
    </w:p>
    <w:p w14:paraId="2807B738" w14:textId="77777777" w:rsidR="0094478B" w:rsidRDefault="0094478B" w:rsidP="0094478B">
      <w:pPr>
        <w:pStyle w:val="NormalnyWeb"/>
        <w:spacing w:before="0" w:beforeAutospacing="0" w:after="105" w:afterAutospacing="0"/>
        <w:jc w:val="center"/>
        <w:rPr>
          <w:rStyle w:val="Pogrubienie"/>
          <w:rFonts w:asciiTheme="minorHAnsi" w:eastAsiaTheme="majorEastAsia" w:hAnsiTheme="minorHAnsi" w:cstheme="minorHAnsi"/>
          <w:color w:val="000000" w:themeColor="text1"/>
        </w:rPr>
      </w:pPr>
    </w:p>
    <w:p w14:paraId="35F62A07" w14:textId="414E9B93" w:rsidR="0094478B" w:rsidRPr="0094478B" w:rsidRDefault="0094478B" w:rsidP="0094478B">
      <w:pPr>
        <w:pStyle w:val="NormalnyWeb"/>
        <w:spacing w:before="0" w:beforeAutospacing="0" w:after="105" w:afterAutospacing="0"/>
        <w:jc w:val="center"/>
        <w:rPr>
          <w:rFonts w:asciiTheme="minorHAnsi" w:hAnsiTheme="minorHAnsi" w:cstheme="minorHAnsi"/>
          <w:color w:val="000000" w:themeColor="text1"/>
        </w:rPr>
      </w:pPr>
      <w:r w:rsidRPr="0094478B">
        <w:rPr>
          <w:rStyle w:val="Pogrubienie"/>
          <w:rFonts w:asciiTheme="minorHAnsi" w:eastAsiaTheme="majorEastAsia" w:hAnsiTheme="minorHAnsi" w:cstheme="minorHAnsi"/>
          <w:color w:val="000000" w:themeColor="text1"/>
        </w:rPr>
        <w:lastRenderedPageBreak/>
        <w:t>DANE TECHNICZNE</w:t>
      </w:r>
    </w:p>
    <w:p w14:paraId="3FB712E1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>Model:</w:t>
      </w:r>
      <w:r w:rsidRPr="0094478B">
        <w:rPr>
          <w:rFonts w:cstheme="minorHAnsi"/>
          <w:color w:val="000000" w:themeColor="text1"/>
        </w:rPr>
        <w:t> </w:t>
      </w:r>
      <w:proofErr w:type="spellStart"/>
      <w:r w:rsidRPr="0094478B">
        <w:rPr>
          <w:rFonts w:cstheme="minorHAnsi"/>
          <w:color w:val="000000" w:themeColor="text1"/>
        </w:rPr>
        <w:t>Lyngdorf</w:t>
      </w:r>
      <w:proofErr w:type="spellEnd"/>
      <w:r w:rsidRPr="0094478B">
        <w:rPr>
          <w:rFonts w:cstheme="minorHAnsi"/>
          <w:color w:val="000000" w:themeColor="text1"/>
        </w:rPr>
        <w:t xml:space="preserve"> D-500</w:t>
      </w:r>
    </w:p>
    <w:p w14:paraId="6D5C0E63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>Opis: </w:t>
      </w:r>
      <w:r w:rsidRPr="0094478B">
        <w:rPr>
          <w:rFonts w:cstheme="minorHAnsi"/>
          <w:color w:val="000000" w:themeColor="text1"/>
        </w:rPr>
        <w:t xml:space="preserve">2-drożny głośnik z 2 pasywnymi głośnikami </w:t>
      </w:r>
      <w:proofErr w:type="spellStart"/>
      <w:r w:rsidRPr="0094478B">
        <w:rPr>
          <w:rFonts w:cstheme="minorHAnsi"/>
          <w:color w:val="000000" w:themeColor="text1"/>
        </w:rPr>
        <w:t>niskotonowymi</w:t>
      </w:r>
      <w:proofErr w:type="spellEnd"/>
    </w:p>
    <w:p w14:paraId="7FA0E532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>Głośnik wysokotonowy:</w:t>
      </w:r>
      <w:r w:rsidRPr="0094478B">
        <w:rPr>
          <w:rFonts w:cstheme="minorHAnsi"/>
          <w:color w:val="000000" w:themeColor="text1"/>
        </w:rPr>
        <w:t> 28 mm, miękka kopułka</w:t>
      </w:r>
    </w:p>
    <w:p w14:paraId="5A85AB78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 xml:space="preserve">Głośnik </w:t>
      </w:r>
      <w:proofErr w:type="spellStart"/>
      <w:r w:rsidRPr="0094478B">
        <w:rPr>
          <w:rStyle w:val="Pogrubienie"/>
          <w:rFonts w:cstheme="minorHAnsi"/>
          <w:color w:val="000000" w:themeColor="text1"/>
        </w:rPr>
        <w:t>średniotonowy</w:t>
      </w:r>
      <w:proofErr w:type="spellEnd"/>
      <w:r w:rsidRPr="0094478B">
        <w:rPr>
          <w:rStyle w:val="Pogrubienie"/>
          <w:rFonts w:cstheme="minorHAnsi"/>
          <w:color w:val="000000" w:themeColor="text1"/>
        </w:rPr>
        <w:t>:</w:t>
      </w:r>
      <w:r w:rsidRPr="0094478B">
        <w:rPr>
          <w:rFonts w:cstheme="minorHAnsi"/>
          <w:color w:val="000000" w:themeColor="text1"/>
        </w:rPr>
        <w:t> 175 mm, cewka drgająca 38 mm, stożek aluminiowy, magnes wentylowany</w:t>
      </w:r>
    </w:p>
    <w:p w14:paraId="5510019F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 xml:space="preserve">Pasywny głośnik </w:t>
      </w:r>
      <w:proofErr w:type="spellStart"/>
      <w:r w:rsidRPr="0094478B">
        <w:rPr>
          <w:rStyle w:val="Pogrubienie"/>
          <w:rFonts w:cstheme="minorHAnsi"/>
          <w:color w:val="000000" w:themeColor="text1"/>
        </w:rPr>
        <w:t>niskotonowy</w:t>
      </w:r>
      <w:proofErr w:type="spellEnd"/>
      <w:r w:rsidRPr="0094478B">
        <w:rPr>
          <w:rStyle w:val="Pogrubienie"/>
          <w:rFonts w:cstheme="minorHAnsi"/>
          <w:color w:val="000000" w:themeColor="text1"/>
        </w:rPr>
        <w:t>:</w:t>
      </w:r>
      <w:r w:rsidRPr="0094478B">
        <w:rPr>
          <w:rFonts w:cstheme="minorHAnsi"/>
          <w:color w:val="000000" w:themeColor="text1"/>
        </w:rPr>
        <w:t> 2 x 175 mm, aluminiowe stożki</w:t>
      </w:r>
    </w:p>
    <w:p w14:paraId="621B013C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>Obudowa:</w:t>
      </w:r>
      <w:r w:rsidRPr="0094478B">
        <w:rPr>
          <w:rFonts w:cstheme="minorHAnsi"/>
          <w:color w:val="000000" w:themeColor="text1"/>
        </w:rPr>
        <w:t> Złożona zamknięta obudowa</w:t>
      </w:r>
    </w:p>
    <w:p w14:paraId="410B37C8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>Pasmo przenoszenia:</w:t>
      </w:r>
      <w:r w:rsidRPr="0094478B">
        <w:rPr>
          <w:rFonts w:cstheme="minorHAnsi"/>
          <w:color w:val="000000" w:themeColor="text1"/>
        </w:rPr>
        <w:t xml:space="preserve"> 50 – 22 000 </w:t>
      </w:r>
      <w:proofErr w:type="spellStart"/>
      <w:r w:rsidRPr="0094478B">
        <w:rPr>
          <w:rFonts w:cstheme="minorHAnsi"/>
          <w:color w:val="000000" w:themeColor="text1"/>
        </w:rPr>
        <w:t>Hz</w:t>
      </w:r>
      <w:proofErr w:type="spellEnd"/>
      <w:r w:rsidRPr="0094478B">
        <w:rPr>
          <w:rFonts w:cstheme="minorHAnsi"/>
          <w:color w:val="000000" w:themeColor="text1"/>
        </w:rPr>
        <w:t xml:space="preserve"> (-3 </w:t>
      </w:r>
      <w:proofErr w:type="spellStart"/>
      <w:r w:rsidRPr="0094478B">
        <w:rPr>
          <w:rFonts w:cstheme="minorHAnsi"/>
          <w:color w:val="000000" w:themeColor="text1"/>
        </w:rPr>
        <w:t>dB</w:t>
      </w:r>
      <w:proofErr w:type="spellEnd"/>
      <w:r w:rsidRPr="0094478B">
        <w:rPr>
          <w:rFonts w:cstheme="minorHAnsi"/>
          <w:color w:val="000000" w:themeColor="text1"/>
        </w:rPr>
        <w:t>)</w:t>
      </w:r>
    </w:p>
    <w:p w14:paraId="6667DD74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>Impedancja nominalna:</w:t>
      </w:r>
      <w:r w:rsidRPr="0094478B">
        <w:rPr>
          <w:rFonts w:cstheme="minorHAnsi"/>
          <w:color w:val="000000" w:themeColor="text1"/>
        </w:rPr>
        <w:t> 4 omy</w:t>
      </w:r>
    </w:p>
    <w:p w14:paraId="39A79743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>Czułość:</w:t>
      </w:r>
      <w:r w:rsidRPr="0094478B">
        <w:rPr>
          <w:rFonts w:cstheme="minorHAnsi"/>
          <w:color w:val="000000" w:themeColor="text1"/>
        </w:rPr>
        <w:t xml:space="preserve"> 88 </w:t>
      </w:r>
      <w:proofErr w:type="spellStart"/>
      <w:r w:rsidRPr="0094478B">
        <w:rPr>
          <w:rFonts w:cstheme="minorHAnsi"/>
          <w:color w:val="000000" w:themeColor="text1"/>
        </w:rPr>
        <w:t>dB</w:t>
      </w:r>
      <w:proofErr w:type="spellEnd"/>
      <w:r w:rsidRPr="0094478B">
        <w:rPr>
          <w:rFonts w:cstheme="minorHAnsi"/>
          <w:color w:val="000000" w:themeColor="text1"/>
        </w:rPr>
        <w:t xml:space="preserve"> (2,83 V/1 m)</w:t>
      </w:r>
    </w:p>
    <w:p w14:paraId="6D62C34C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>Moc wyjściowa: </w:t>
      </w:r>
      <w:r w:rsidRPr="0094478B">
        <w:rPr>
          <w:rFonts w:cstheme="minorHAnsi"/>
          <w:color w:val="000000" w:themeColor="text1"/>
        </w:rPr>
        <w:t>100 W (IEC)</w:t>
      </w:r>
    </w:p>
    <w:p w14:paraId="00EB3246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>Maksymalny poziom ciśnienia akustycznego (SPL):</w:t>
      </w:r>
      <w:r w:rsidRPr="0094478B">
        <w:rPr>
          <w:rFonts w:cstheme="minorHAnsi"/>
          <w:color w:val="000000" w:themeColor="text1"/>
        </w:rPr>
        <w:t xml:space="preserve"> 105 </w:t>
      </w:r>
      <w:proofErr w:type="spellStart"/>
      <w:r w:rsidRPr="0094478B">
        <w:rPr>
          <w:rFonts w:cstheme="minorHAnsi"/>
          <w:color w:val="000000" w:themeColor="text1"/>
        </w:rPr>
        <w:t>dB</w:t>
      </w:r>
      <w:proofErr w:type="spellEnd"/>
    </w:p>
    <w:p w14:paraId="59F45E0D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>Punkt podziału: </w:t>
      </w:r>
      <w:r w:rsidRPr="0094478B">
        <w:rPr>
          <w:rFonts w:cstheme="minorHAnsi"/>
          <w:color w:val="000000" w:themeColor="text1"/>
        </w:rPr>
        <w:t>2,5 kHz</w:t>
      </w:r>
    </w:p>
    <w:p w14:paraId="0EC90287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>Przyłącza: </w:t>
      </w:r>
      <w:r w:rsidRPr="0094478B">
        <w:rPr>
          <w:rFonts w:cstheme="minorHAnsi"/>
          <w:color w:val="000000" w:themeColor="text1"/>
        </w:rPr>
        <w:t>Złącza głośnikowe</w:t>
      </w:r>
    </w:p>
    <w:p w14:paraId="50729FE7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>Montaż:</w:t>
      </w:r>
      <w:r w:rsidRPr="0094478B">
        <w:rPr>
          <w:rFonts w:cstheme="minorHAnsi"/>
          <w:color w:val="000000" w:themeColor="text1"/>
        </w:rPr>
        <w:t> W ścianie</w:t>
      </w:r>
    </w:p>
    <w:p w14:paraId="586D36DC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>Wymiary z maskownicą (szer. x wys. x gł.): </w:t>
      </w:r>
      <w:r w:rsidRPr="0094478B">
        <w:rPr>
          <w:rFonts w:cstheme="minorHAnsi"/>
          <w:color w:val="000000" w:themeColor="text1"/>
        </w:rPr>
        <w:t>254 x 779 x 106 mm</w:t>
      </w:r>
    </w:p>
    <w:p w14:paraId="70DE7CDF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>Wymiary wycięcia (szer. x wys. x głęb.):</w:t>
      </w:r>
      <w:r w:rsidRPr="0094478B">
        <w:rPr>
          <w:rFonts w:cstheme="minorHAnsi"/>
          <w:color w:val="000000" w:themeColor="text1"/>
        </w:rPr>
        <w:t> 226 x 751 x 100 mm</w:t>
      </w:r>
    </w:p>
    <w:p w14:paraId="226966E2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>Masa: </w:t>
      </w:r>
      <w:r w:rsidRPr="0094478B">
        <w:rPr>
          <w:rFonts w:cstheme="minorHAnsi"/>
          <w:color w:val="000000" w:themeColor="text1"/>
        </w:rPr>
        <w:t>7,4 kg</w:t>
      </w:r>
    </w:p>
    <w:p w14:paraId="409CA6EC" w14:textId="77777777" w:rsidR="0094478B" w:rsidRPr="0094478B" w:rsidRDefault="0094478B" w:rsidP="0094478B">
      <w:pPr>
        <w:numPr>
          <w:ilvl w:val="0"/>
          <w:numId w:val="1"/>
        </w:numPr>
        <w:spacing w:before="100" w:beforeAutospacing="1" w:after="100" w:afterAutospacing="1"/>
        <w:rPr>
          <w:rFonts w:cstheme="minorHAnsi"/>
          <w:color w:val="000000" w:themeColor="text1"/>
        </w:rPr>
      </w:pPr>
      <w:r w:rsidRPr="0094478B">
        <w:rPr>
          <w:rStyle w:val="Pogrubienie"/>
          <w:rFonts w:cstheme="minorHAnsi"/>
          <w:color w:val="000000" w:themeColor="text1"/>
        </w:rPr>
        <w:t>Wykończenie powierzchni: </w:t>
      </w:r>
      <w:r w:rsidRPr="0094478B">
        <w:rPr>
          <w:rFonts w:cstheme="minorHAnsi"/>
          <w:color w:val="000000" w:themeColor="text1"/>
        </w:rPr>
        <w:t>Matowa czerń, biała maskownica</w:t>
      </w:r>
    </w:p>
    <w:p w14:paraId="379CB163" w14:textId="77777777" w:rsidR="009D0860" w:rsidRPr="0094478B" w:rsidRDefault="009D0860" w:rsidP="0094478B">
      <w:pPr>
        <w:rPr>
          <w:rFonts w:cstheme="minorHAnsi"/>
          <w:color w:val="000000" w:themeColor="text1"/>
        </w:rPr>
      </w:pPr>
    </w:p>
    <w:sectPr w:rsidR="009D0860" w:rsidRPr="0094478B" w:rsidSect="00F319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02CFA"/>
    <w:multiLevelType w:val="multilevel"/>
    <w:tmpl w:val="4AC61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1565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60"/>
    <w:rsid w:val="0008569E"/>
    <w:rsid w:val="00137364"/>
    <w:rsid w:val="00687885"/>
    <w:rsid w:val="006B776A"/>
    <w:rsid w:val="00843947"/>
    <w:rsid w:val="008D47A5"/>
    <w:rsid w:val="0094478B"/>
    <w:rsid w:val="009C46F5"/>
    <w:rsid w:val="009D0860"/>
    <w:rsid w:val="00A47C5D"/>
    <w:rsid w:val="00AB5BFD"/>
    <w:rsid w:val="00BB0E57"/>
    <w:rsid w:val="00BB7014"/>
    <w:rsid w:val="00BC6C86"/>
    <w:rsid w:val="00BF6E3D"/>
    <w:rsid w:val="00CC3E12"/>
    <w:rsid w:val="00F15220"/>
    <w:rsid w:val="00F31910"/>
    <w:rsid w:val="00FE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F50E"/>
  <w14:defaultImageDpi w14:val="32767"/>
  <w15:chartTrackingRefBased/>
  <w15:docId w15:val="{3514C608-15B6-D945-B9C6-C0A3C93E0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D086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08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08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08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086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086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nyWeb">
    <w:name w:val="Normal (Web)"/>
    <w:basedOn w:val="Normalny"/>
    <w:uiPriority w:val="99"/>
    <w:semiHidden/>
    <w:unhideWhenUsed/>
    <w:rsid w:val="009D08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08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086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Pogrubienie">
    <w:name w:val="Strong"/>
    <w:basedOn w:val="Domylnaczcionkaakapitu"/>
    <w:uiPriority w:val="22"/>
    <w:qFormat/>
    <w:rsid w:val="009D0860"/>
    <w:rPr>
      <w:b/>
      <w:bCs/>
    </w:rPr>
  </w:style>
  <w:style w:type="character" w:customStyle="1" w:styleId="apple-converted-space">
    <w:name w:val="apple-converted-space"/>
    <w:basedOn w:val="Domylnaczcionkaakapitu"/>
    <w:rsid w:val="009D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32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0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4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24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05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2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34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3</cp:revision>
  <dcterms:created xsi:type="dcterms:W3CDTF">2022-06-11T15:33:00Z</dcterms:created>
  <dcterms:modified xsi:type="dcterms:W3CDTF">2022-06-11T19:13:00Z</dcterms:modified>
</cp:coreProperties>
</file>